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9B4B7" w14:textId="79139764" w:rsidR="00B706EA" w:rsidRDefault="00B706EA" w:rsidP="00B706EA">
      <w:pPr>
        <w:ind w:left="1440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Strategic Business Plan Amendments Summary</w:t>
      </w:r>
    </w:p>
    <w:p w14:paraId="7FA3C1CC" w14:textId="34CBAC40" w:rsidR="00B706EA" w:rsidRPr="00B706EA" w:rsidRDefault="00B706EA" w:rsidP="00B706EA">
      <w:pPr>
        <w:ind w:left="1440"/>
        <w:jc w:val="center"/>
        <w:rPr>
          <w:rFonts w:ascii="Arial" w:hAnsi="Arial" w:cs="Arial"/>
          <w:sz w:val="28"/>
          <w:szCs w:val="28"/>
        </w:rPr>
      </w:pPr>
      <w:r w:rsidRPr="00B706EA">
        <w:rPr>
          <w:rFonts w:ascii="Arial" w:hAnsi="Arial" w:cs="Arial"/>
          <w:sz w:val="28"/>
          <w:szCs w:val="28"/>
        </w:rPr>
        <w:t>June 22, 2020</w:t>
      </w:r>
    </w:p>
    <w:p w14:paraId="4956EF67" w14:textId="272B3104" w:rsidR="00B706EA" w:rsidRPr="00B706EA" w:rsidRDefault="00B706EA" w:rsidP="00B706EA">
      <w:pPr>
        <w:ind w:left="1440"/>
        <w:rPr>
          <w:rFonts w:ascii="Arial" w:hAnsi="Arial" w:cs="Arial"/>
        </w:rPr>
      </w:pPr>
    </w:p>
    <w:p w14:paraId="3F041DD3" w14:textId="1BF90A69" w:rsidR="00B706EA" w:rsidRPr="00B706EA" w:rsidRDefault="00B706EA" w:rsidP="00B706EA">
      <w:pPr>
        <w:ind w:left="1440"/>
        <w:rPr>
          <w:rFonts w:ascii="Arial" w:hAnsi="Arial" w:cs="Arial"/>
        </w:rPr>
      </w:pPr>
    </w:p>
    <w:p w14:paraId="3C11210E" w14:textId="1002177A" w:rsidR="00B706EA" w:rsidRDefault="00B706EA" w:rsidP="00B706EA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Based on feedback from technical stakeholders and public comments, the following updates to the Strategic Business Plan and Technical Appendix have been made:</w:t>
      </w:r>
    </w:p>
    <w:p w14:paraId="3B4B61D0" w14:textId="55F43D23" w:rsidR="00B706EA" w:rsidRDefault="00B706EA" w:rsidP="00B706EA">
      <w:pPr>
        <w:ind w:left="1440"/>
        <w:rPr>
          <w:rFonts w:ascii="Arial" w:hAnsi="Arial" w:cs="Arial"/>
        </w:rPr>
      </w:pPr>
    </w:p>
    <w:p w14:paraId="15DA4C32" w14:textId="0F1D744C" w:rsidR="00B706EA" w:rsidRDefault="00B706EA" w:rsidP="00B706E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“Equitable” has been added to the mission statement to read:</w:t>
      </w:r>
    </w:p>
    <w:p w14:paraId="78033922" w14:textId="572E6DDE" w:rsidR="00067D04" w:rsidRDefault="00067D04" w:rsidP="00067D04">
      <w:pPr>
        <w:pStyle w:val="ListParagraph"/>
        <w:ind w:left="1800"/>
        <w:rPr>
          <w:rFonts w:ascii="Arial" w:hAnsi="Arial" w:cs="Arial"/>
        </w:rPr>
      </w:pPr>
      <w:r>
        <w:rPr>
          <w:rFonts w:ascii="Arial" w:hAnsi="Arial" w:cs="Arial"/>
        </w:rPr>
        <w:t>Promote sustainable, equitable, and smart logistics investment through partnerships, policies, and programs.</w:t>
      </w:r>
    </w:p>
    <w:p w14:paraId="2B39CC9E" w14:textId="77777777" w:rsidR="002E1BE8" w:rsidRDefault="002E1BE8" w:rsidP="00067D04">
      <w:pPr>
        <w:pStyle w:val="ListParagraph"/>
        <w:ind w:left="1800"/>
        <w:rPr>
          <w:rFonts w:ascii="Arial" w:hAnsi="Arial" w:cs="Arial"/>
        </w:rPr>
      </w:pPr>
    </w:p>
    <w:p w14:paraId="1EF159A9" w14:textId="138AFA65" w:rsidR="002E1BE8" w:rsidRDefault="002E1BE8" w:rsidP="002E1BE8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Equity and inclusion are also added within strategies addressing community and workforce</w:t>
      </w:r>
    </w:p>
    <w:p w14:paraId="116529DA" w14:textId="77777777" w:rsidR="00067D04" w:rsidRPr="00067D04" w:rsidRDefault="00067D04" w:rsidP="00067D04">
      <w:pPr>
        <w:ind w:left="1440"/>
        <w:rPr>
          <w:rFonts w:ascii="Arial" w:hAnsi="Arial" w:cs="Arial"/>
        </w:rPr>
      </w:pPr>
    </w:p>
    <w:p w14:paraId="10DAEEEF" w14:textId="3CD73BAA" w:rsidR="00B706EA" w:rsidRDefault="00067D04" w:rsidP="00067D0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Sustainability planning has been specified in the organizational chart and staff phasing to be more specific for a future “planning” position.</w:t>
      </w:r>
    </w:p>
    <w:p w14:paraId="1B63B82C" w14:textId="2818C4B2" w:rsidR="00067D04" w:rsidRDefault="00067D04" w:rsidP="00067D04">
      <w:pPr>
        <w:pStyle w:val="ListParagraph"/>
        <w:ind w:left="1800"/>
        <w:rPr>
          <w:rFonts w:ascii="Arial" w:hAnsi="Arial" w:cs="Arial"/>
        </w:rPr>
      </w:pPr>
    </w:p>
    <w:p w14:paraId="6E13D633" w14:textId="77777777" w:rsidR="002E1BE8" w:rsidRDefault="002E1BE8" w:rsidP="002E1BE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Technical Appendix Environmental Sustainability section has added language about:</w:t>
      </w:r>
    </w:p>
    <w:p w14:paraId="0A0D6428" w14:textId="77777777" w:rsidR="002E1BE8" w:rsidRPr="002E1BE8" w:rsidRDefault="002E1BE8" w:rsidP="002E1BE8">
      <w:pPr>
        <w:pStyle w:val="ListParagraph"/>
        <w:rPr>
          <w:rFonts w:ascii="Arial" w:hAnsi="Arial" w:cs="Arial"/>
        </w:rPr>
      </w:pPr>
    </w:p>
    <w:p w14:paraId="73ABDE99" w14:textId="32068EF1" w:rsidR="002E1BE8" w:rsidRDefault="002E1BE8" w:rsidP="002E1BE8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Opportunities for water reuse and water conservation in non-essential operation activities.</w:t>
      </w:r>
    </w:p>
    <w:p w14:paraId="40A66FF1" w14:textId="44DB75A3" w:rsidR="002E1BE8" w:rsidRDefault="002E1BE8" w:rsidP="002E1BE8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Opportunities for idling limits and idling zones</w:t>
      </w:r>
    </w:p>
    <w:p w14:paraId="23878720" w14:textId="77777777" w:rsidR="002E1BE8" w:rsidRPr="002E1BE8" w:rsidRDefault="002E1BE8" w:rsidP="002E1BE8">
      <w:pPr>
        <w:pStyle w:val="ListParagraph"/>
        <w:rPr>
          <w:rFonts w:ascii="Arial" w:hAnsi="Arial" w:cs="Arial"/>
        </w:rPr>
      </w:pPr>
    </w:p>
    <w:p w14:paraId="17F4C8A6" w14:textId="296E6CEC" w:rsidR="00B706EA" w:rsidRPr="002E1BE8" w:rsidRDefault="002E1BE8" w:rsidP="002E1BE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Technical Appendix Scenario Modeling Documentation section has added language to give context and more information about data sources, modeling, and guiding practices.</w:t>
      </w:r>
    </w:p>
    <w:p w14:paraId="4CB83F97" w14:textId="536C7525" w:rsidR="00B706EA" w:rsidRDefault="00B706EA" w:rsidP="00067D04">
      <w:pPr>
        <w:ind w:left="1440"/>
        <w:rPr>
          <w:rFonts w:ascii="Arial" w:hAnsi="Arial" w:cs="Arial"/>
        </w:rPr>
      </w:pPr>
    </w:p>
    <w:p w14:paraId="02D6FEDC" w14:textId="77777777" w:rsidR="00B706EA" w:rsidRPr="00B706EA" w:rsidRDefault="00B706EA" w:rsidP="00067D04">
      <w:pPr>
        <w:ind w:left="1440"/>
        <w:rPr>
          <w:rFonts w:ascii="Arial" w:hAnsi="Arial" w:cs="Arial"/>
        </w:rPr>
      </w:pPr>
    </w:p>
    <w:p w14:paraId="0DFA878D" w14:textId="77777777" w:rsidR="00B706EA" w:rsidRPr="00B706EA" w:rsidRDefault="00B706EA" w:rsidP="00B706EA">
      <w:pPr>
        <w:ind w:left="1440"/>
        <w:rPr>
          <w:rFonts w:ascii="Arial" w:hAnsi="Arial" w:cs="Arial"/>
        </w:rPr>
      </w:pPr>
    </w:p>
    <w:p w14:paraId="1687FB31" w14:textId="77777777" w:rsidR="00B706EA" w:rsidRPr="00B706EA" w:rsidRDefault="00B706EA" w:rsidP="00B706EA">
      <w:pPr>
        <w:ind w:left="1440"/>
        <w:rPr>
          <w:rFonts w:ascii="Arial" w:hAnsi="Arial" w:cs="Arial"/>
        </w:rPr>
      </w:pPr>
    </w:p>
    <w:sectPr w:rsidR="00B706EA" w:rsidRPr="00B706EA" w:rsidSect="004C5D66">
      <w:headerReference w:type="default" r:id="rId7"/>
      <w:footerReference w:type="default" r:id="rId8"/>
      <w:pgSz w:w="12240" w:h="15840"/>
      <w:pgMar w:top="2970" w:right="1440" w:bottom="1350" w:left="0" w:header="0" w:footer="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4F3E1" w14:textId="77777777" w:rsidR="00672942" w:rsidRDefault="00D7750F">
      <w:r>
        <w:separator/>
      </w:r>
    </w:p>
  </w:endnote>
  <w:endnote w:type="continuationSeparator" w:id="0">
    <w:p w14:paraId="5F1F4398" w14:textId="77777777" w:rsidR="00672942" w:rsidRDefault="00D7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894D1" w14:textId="77777777" w:rsidR="004C5D66" w:rsidRDefault="004C5D66" w:rsidP="004C5D66">
    <w:pPr>
      <w:pStyle w:val="Footer"/>
      <w:ind w:left="1440"/>
    </w:pPr>
    <w:r>
      <w:rPr>
        <w:noProof/>
      </w:rPr>
      <w:drawing>
        <wp:inline distT="0" distB="0" distL="0" distR="0" wp14:anchorId="2474333F" wp14:editId="18DEBD33">
          <wp:extent cx="6858000" cy="563245"/>
          <wp:effectExtent l="25400" t="0" r="0" b="0"/>
          <wp:docPr id="3" name="Picture 2" descr="UIP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PA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B42BC" w14:textId="77777777" w:rsidR="00672942" w:rsidRDefault="00D7750F">
      <w:r>
        <w:separator/>
      </w:r>
    </w:p>
  </w:footnote>
  <w:footnote w:type="continuationSeparator" w:id="0">
    <w:p w14:paraId="0EF850A6" w14:textId="77777777" w:rsidR="00672942" w:rsidRDefault="00D77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A36F" w14:textId="77777777" w:rsidR="004C5D66" w:rsidRDefault="004C5D66" w:rsidP="004C5D66">
    <w:pPr>
      <w:pStyle w:val="Header"/>
      <w:ind w:right="-1800"/>
    </w:pPr>
    <w:r w:rsidRPr="004C5D66">
      <w:rPr>
        <w:noProof/>
      </w:rPr>
      <w:drawing>
        <wp:inline distT="0" distB="0" distL="0" distR="0" wp14:anchorId="3F3474F1" wp14:editId="5A770E80">
          <wp:extent cx="7772400" cy="1472184"/>
          <wp:effectExtent l="25400" t="0" r="0" b="0"/>
          <wp:docPr id="2" name="Picture 0" descr="UIPA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PA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472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073EF"/>
    <w:multiLevelType w:val="hybridMultilevel"/>
    <w:tmpl w:val="21A4E9F8"/>
    <w:lvl w:ilvl="0" w:tplc="45006E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51141"/>
    <w:multiLevelType w:val="hybridMultilevel"/>
    <w:tmpl w:val="8BB2B978"/>
    <w:lvl w:ilvl="0" w:tplc="6338E4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FB574D8"/>
    <w:multiLevelType w:val="hybridMultilevel"/>
    <w:tmpl w:val="FB9C1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D66"/>
    <w:rsid w:val="00067D04"/>
    <w:rsid w:val="002E1BE8"/>
    <w:rsid w:val="004C5D66"/>
    <w:rsid w:val="00672942"/>
    <w:rsid w:val="00B706EA"/>
    <w:rsid w:val="00D775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633DE"/>
  <w15:docId w15:val="{A617A37F-03BF-4276-B943-90775130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9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D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D66"/>
  </w:style>
  <w:style w:type="paragraph" w:styleId="Footer">
    <w:name w:val="footer"/>
    <w:basedOn w:val="Normal"/>
    <w:link w:val="FooterChar"/>
    <w:uiPriority w:val="99"/>
    <w:semiHidden/>
    <w:unhideWhenUsed/>
    <w:rsid w:val="004C5D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5D66"/>
  </w:style>
  <w:style w:type="paragraph" w:styleId="NoSpacing">
    <w:name w:val="No Spacing"/>
    <w:link w:val="NoSpacingChar"/>
    <w:qFormat/>
    <w:rsid w:val="004C5D66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C5D66"/>
    <w:rPr>
      <w:rFonts w:ascii="PMingLiU" w:eastAsiaTheme="minorEastAsia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B706EA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Trujillo</dc:creator>
  <cp:keywords/>
  <cp:lastModifiedBy>Brittany Manookin</cp:lastModifiedBy>
  <cp:revision>2</cp:revision>
  <dcterms:created xsi:type="dcterms:W3CDTF">2020-06-18T19:40:00Z</dcterms:created>
  <dcterms:modified xsi:type="dcterms:W3CDTF">2020-06-18T19:40:00Z</dcterms:modified>
</cp:coreProperties>
</file>